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70B03" w:rsidRPr="00853BAF" w:rsidTr="00980E8C">
        <w:tc>
          <w:tcPr>
            <w:tcW w:w="9923" w:type="dxa"/>
          </w:tcPr>
          <w:p w:rsidR="00170B03" w:rsidRPr="00853BAF" w:rsidRDefault="00170B03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B03" w:rsidRPr="00853BAF" w:rsidRDefault="00170B0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70B03" w:rsidRPr="00853BAF" w:rsidRDefault="00170B0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70B03" w:rsidRPr="00853BAF" w:rsidRDefault="00170B0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70B03" w:rsidRPr="00853BAF" w:rsidRDefault="00170B0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70B03" w:rsidRPr="00853BAF" w:rsidRDefault="00170B0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70B03" w:rsidRPr="00853BAF" w:rsidRDefault="00170B0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B1222">
              <w:rPr>
                <w:u w:val="single"/>
              </w:rPr>
              <w:t>03.06.2016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0B1222">
              <w:rPr>
                <w:u w:val="single"/>
              </w:rPr>
              <w:t>2374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70B03" w:rsidRPr="00853BAF" w:rsidRDefault="00170B0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Tr="00170B03">
        <w:trPr>
          <w:trHeight w:val="997"/>
        </w:trPr>
        <w:tc>
          <w:tcPr>
            <w:tcW w:w="5352" w:type="dxa"/>
            <w:hideMark/>
          </w:tcPr>
          <w:p w:rsidR="00B67B9D" w:rsidRDefault="00B67B9D" w:rsidP="00170B03">
            <w:pPr>
              <w:widowControl/>
              <w:spacing w:after="560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</w:t>
            </w:r>
            <w:r>
              <w:t>к</w:t>
            </w:r>
            <w:r>
              <w:t>ции объектов капитального строительства</w:t>
            </w:r>
          </w:p>
        </w:tc>
      </w:tr>
    </w:tbl>
    <w:p w:rsidR="00B67B9D" w:rsidRPr="00F12A0F" w:rsidRDefault="00B67B9D" w:rsidP="00170B03">
      <w:pPr>
        <w:ind w:firstLine="709"/>
        <w:jc w:val="both"/>
      </w:pPr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 xml:space="preserve">ного постановлением мэрии города Новосибирска от 10.06.2013 № 5459, на основании заключения </w:t>
      </w:r>
      <w:r w:rsidRPr="00F12A0F">
        <w:rPr>
          <w:spacing w:val="-3"/>
        </w:rPr>
        <w:t>по результатам публичных слушаний по вопросам предо</w:t>
      </w:r>
      <w:r w:rsidRPr="00F12A0F">
        <w:rPr>
          <w:spacing w:val="-3"/>
        </w:rPr>
        <w:t>с</w:t>
      </w:r>
      <w:r w:rsidRPr="00F12A0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F12A0F">
        <w:rPr>
          <w:spacing w:val="-2"/>
        </w:rPr>
        <w:t>реконструкции объекто</w:t>
      </w:r>
      <w:r w:rsidR="003D7406">
        <w:rPr>
          <w:spacing w:val="-2"/>
        </w:rPr>
        <w:t xml:space="preserve">в капитального строительства от </w:t>
      </w:r>
      <w:r w:rsidR="00D82CC1">
        <w:rPr>
          <w:spacing w:val="-2"/>
        </w:rPr>
        <w:t>30</w:t>
      </w:r>
      <w:r w:rsidRPr="00F12A0F">
        <w:rPr>
          <w:spacing w:val="-2"/>
        </w:rPr>
        <w:t>.</w:t>
      </w:r>
      <w:r w:rsidR="003F607C">
        <w:rPr>
          <w:spacing w:val="-2"/>
        </w:rPr>
        <w:t>0</w:t>
      </w:r>
      <w:r w:rsidR="003D7406">
        <w:rPr>
          <w:spacing w:val="-2"/>
        </w:rPr>
        <w:t>5</w:t>
      </w:r>
      <w:r w:rsidRPr="00F12A0F">
        <w:rPr>
          <w:spacing w:val="-2"/>
        </w:rPr>
        <w:t>.201</w:t>
      </w:r>
      <w:r w:rsidR="003F607C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екомендаций комиссии по подготовке проекта правил землепользования и з</w:t>
      </w:r>
      <w:r w:rsidRPr="00F12A0F">
        <w:t>а</w:t>
      </w:r>
      <w:r w:rsidRPr="00F12A0F">
        <w:t>стройки города Новосибирска о предоставлении и</w:t>
      </w:r>
      <w:r w:rsidR="00170B03">
        <w:t xml:space="preserve"> </w:t>
      </w:r>
      <w:r w:rsidRPr="00F12A0F">
        <w:t>об отказе в предоставлении разрешений на отклонение от предельных параметров разрешенного строительс</w:t>
      </w:r>
      <w:r w:rsidRPr="00F12A0F">
        <w:t>т</w:t>
      </w:r>
      <w:r w:rsidRPr="00F12A0F">
        <w:t>ва, реконструкции объектов</w:t>
      </w:r>
      <w:r w:rsidR="00EE41BE" w:rsidRPr="00F12A0F">
        <w:t xml:space="preserve"> капитального строительства от </w:t>
      </w:r>
      <w:r w:rsidR="00D82CC1">
        <w:t>31</w:t>
      </w:r>
      <w:r w:rsidRPr="00F12A0F">
        <w:t>.</w:t>
      </w:r>
      <w:r w:rsidR="003F607C">
        <w:t>0</w:t>
      </w:r>
      <w:r w:rsidR="003D7406">
        <w:t>5</w:t>
      </w:r>
      <w:r w:rsidRPr="00F12A0F">
        <w:t>.201</w:t>
      </w:r>
      <w:r w:rsidR="003F607C">
        <w:t>6</w:t>
      </w:r>
      <w:r w:rsidRPr="00F12A0F">
        <w:t>, руководствуясь Уставом города Новосибирска, ПОСТАНОВЛЯЮ:</w:t>
      </w:r>
    </w:p>
    <w:p w:rsidR="00192555" w:rsidRDefault="00B67B9D" w:rsidP="00170B03">
      <w:pPr>
        <w:widowControl/>
        <w:ind w:firstLine="709"/>
        <w:jc w:val="both"/>
        <w:rPr>
          <w:spacing w:val="-2"/>
        </w:rPr>
      </w:pPr>
      <w:r w:rsidRPr="00F12A0F">
        <w:t>1. Отказать в предоставлении разрешени</w:t>
      </w:r>
      <w:r w:rsidR="00170B03">
        <w:t>й</w:t>
      </w:r>
      <w:r w:rsidRPr="00F12A0F">
        <w:t xml:space="preserve">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:rsidR="0059347D" w:rsidRPr="00B61559" w:rsidRDefault="007A7B76" w:rsidP="00170B03">
      <w:pPr>
        <w:jc w:val="both"/>
      </w:pPr>
      <w:r>
        <w:rPr>
          <w:bCs/>
        </w:rPr>
        <w:tab/>
      </w:r>
      <w:r w:rsidR="003804A5">
        <w:rPr>
          <w:bCs/>
        </w:rPr>
        <w:t>1</w:t>
      </w:r>
      <w:r w:rsidR="00531C79">
        <w:rPr>
          <w:bCs/>
        </w:rPr>
        <w:t>.</w:t>
      </w:r>
      <w:r w:rsidR="00192555">
        <w:t>1</w:t>
      </w:r>
      <w:r w:rsidR="00192555" w:rsidRPr="00DE51A3">
        <w:t>. </w:t>
      </w:r>
      <w:r w:rsidR="004717B3" w:rsidRPr="004C278E">
        <w:rPr>
          <w:bCs/>
        </w:rPr>
        <w:t>Государственному бюджетному профессиональному образовательному учреждению Новосибирской области «Новосибирский авиационный технический колледж имени Б.</w:t>
      </w:r>
      <w:r w:rsidR="00170B03">
        <w:rPr>
          <w:bCs/>
        </w:rPr>
        <w:t xml:space="preserve"> </w:t>
      </w:r>
      <w:r w:rsidR="004717B3" w:rsidRPr="004C278E">
        <w:rPr>
          <w:bCs/>
        </w:rPr>
        <w:t>С. Галущака»</w:t>
      </w:r>
      <w:r w:rsidR="004717B3" w:rsidRPr="004C278E">
        <w:t xml:space="preserve"> (на основании заявления в связи с необходим</w:t>
      </w:r>
      <w:r w:rsidR="004717B3" w:rsidRPr="004C278E">
        <w:t>о</w:t>
      </w:r>
      <w:r w:rsidR="004717B3" w:rsidRPr="004C278E">
        <w:t xml:space="preserve">стью соблюдения линии </w:t>
      </w:r>
      <w:r w:rsidR="004717B3" w:rsidRPr="004C278E">
        <w:rPr>
          <w:bCs/>
          <w:iCs/>
        </w:rPr>
        <w:t>регулирования</w:t>
      </w:r>
      <w:r w:rsidR="004717B3" w:rsidRPr="004C278E">
        <w:t xml:space="preserve"> застройки, а также в связи с существующим местоположением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54:35:101095:43 площадью 1,6221 га, расположенного по адресу: Ро</w:t>
      </w:r>
      <w:r w:rsidR="004717B3" w:rsidRPr="004C278E">
        <w:t>с</w:t>
      </w:r>
      <w:r w:rsidR="004717B3" w:rsidRPr="004C278E">
        <w:t xml:space="preserve">сийская Федерация, Новосибирская область, город Новосибирск, Красный проспект, 74 (зона объектов среднего профессионального и высшего образования, научно-исследовательских организаций (ОД-2)), с 3 м до 0 м со </w:t>
      </w:r>
      <w:r w:rsidR="004717B3" w:rsidRPr="004C278E">
        <w:rPr>
          <w:bCs/>
        </w:rPr>
        <w:t>стороны Красного проспекта и с северной стороны в габаритах объ</w:t>
      </w:r>
      <w:r w:rsidR="004717B3">
        <w:rPr>
          <w:bCs/>
        </w:rPr>
        <w:t>екта капитального строительства</w:t>
      </w:r>
      <w:r w:rsidR="00826E1F">
        <w:rPr>
          <w:bCs/>
        </w:rPr>
        <w:t xml:space="preserve"> </w:t>
      </w:r>
      <w:r w:rsidR="0059347D" w:rsidRPr="00B61559">
        <w:t>в связи с тем, что не п</w:t>
      </w:r>
      <w:r w:rsidR="0059347D">
        <w:t>редставлено согласие</w:t>
      </w:r>
      <w:r w:rsidR="0059347D" w:rsidRPr="00B61559">
        <w:t xml:space="preserve"> иных </w:t>
      </w:r>
      <w:r w:rsidR="0059347D">
        <w:t>собственников</w:t>
      </w:r>
      <w:r w:rsidR="0059347D" w:rsidRPr="00B61559">
        <w:t xml:space="preserve"> объекта кап</w:t>
      </w:r>
      <w:r w:rsidR="0059347D" w:rsidRPr="00B61559">
        <w:t>и</w:t>
      </w:r>
      <w:r w:rsidR="0059347D" w:rsidRPr="00B61559">
        <w:t>тального строительства.</w:t>
      </w:r>
    </w:p>
    <w:p w:rsidR="004717B3" w:rsidRPr="00C50866" w:rsidRDefault="0059347D" w:rsidP="00170B03">
      <w:pPr>
        <w:jc w:val="both"/>
        <w:rPr>
          <w:bCs/>
        </w:rPr>
      </w:pPr>
      <w:r>
        <w:rPr>
          <w:noProof/>
        </w:rPr>
        <w:lastRenderedPageBreak/>
        <w:tab/>
      </w:r>
      <w:r w:rsidR="004717B3">
        <w:rPr>
          <w:noProof/>
        </w:rPr>
        <w:t>1.2</w:t>
      </w:r>
      <w:r w:rsidR="004717B3" w:rsidRPr="00C50866">
        <w:rPr>
          <w:bCs/>
        </w:rPr>
        <w:t>. Обществу с ограниченной ответственностью «Строй Сити»</w:t>
      </w:r>
      <w:r w:rsidR="004717B3" w:rsidRPr="00C50866">
        <w:t xml:space="preserve"> </w:t>
      </w:r>
      <w:r w:rsidR="004717B3" w:rsidRPr="00C50866">
        <w:rPr>
          <w:bCs/>
        </w:rPr>
        <w:t>(на основ</w:t>
      </w:r>
      <w:r w:rsidR="004717B3" w:rsidRPr="00C50866">
        <w:rPr>
          <w:bCs/>
        </w:rPr>
        <w:t>а</w:t>
      </w:r>
      <w:r w:rsidR="004717B3" w:rsidRPr="00C50866">
        <w:rPr>
          <w:bCs/>
        </w:rPr>
        <w:t>нии заявления в связи с тем, что конфигурация земельного участка является неблагоприятной для застройки) в части уменьшения минимального процента з</w:t>
      </w:r>
      <w:r w:rsidR="004717B3" w:rsidRPr="00C50866">
        <w:rPr>
          <w:bCs/>
        </w:rPr>
        <w:t>а</w:t>
      </w:r>
      <w:r w:rsidR="004717B3" w:rsidRPr="00C50866">
        <w:rPr>
          <w:bCs/>
        </w:rPr>
        <w:t>стройки с 60 % до 5 % в границах земельного участка с кадастровым номером 54:35:053195:41 площадью 2,8766 га, расположенного по адресу: Российская Ф</w:t>
      </w:r>
      <w:r w:rsidR="004717B3" w:rsidRPr="00C50866">
        <w:rPr>
          <w:bCs/>
        </w:rPr>
        <w:t>е</w:t>
      </w:r>
      <w:r w:rsidR="004717B3" w:rsidRPr="00C50866">
        <w:rPr>
          <w:bCs/>
        </w:rPr>
        <w:t xml:space="preserve">дерация, Новосибирская </w:t>
      </w:r>
      <w:r w:rsidR="004717B3">
        <w:rPr>
          <w:bCs/>
        </w:rPr>
        <w:t>область, город Новосибирск, ул. </w:t>
      </w:r>
      <w:r w:rsidR="004717B3" w:rsidRPr="00C50866">
        <w:rPr>
          <w:bCs/>
        </w:rPr>
        <w:t>Чемская (зона стоянок для легковых автомобилей (СА-1</w:t>
      </w:r>
      <w:r w:rsidR="00826E1F">
        <w:rPr>
          <w:bCs/>
        </w:rPr>
        <w:t>))</w:t>
      </w:r>
      <w:r w:rsidR="00826E1F">
        <w:t xml:space="preserve"> </w:t>
      </w:r>
      <w:r w:rsidR="00A874A8" w:rsidRPr="003B4370">
        <w:t xml:space="preserve">в связи с тем, что отсутствуют обоснования, предусмотренные частью 1 статьи 40 Градостроительного кодекса </w:t>
      </w:r>
      <w:r w:rsidR="00A874A8" w:rsidRPr="00174A37">
        <w:t>Российской Федерации</w:t>
      </w:r>
      <w:r w:rsidR="00A874A8">
        <w:t>, а именно</w:t>
      </w:r>
      <w:r w:rsidR="00A874A8" w:rsidRPr="003B4370">
        <w:t xml:space="preserve"> </w:t>
      </w:r>
      <w:r w:rsidR="00826E1F" w:rsidRPr="00C50866">
        <w:rPr>
          <w:bCs/>
        </w:rPr>
        <w:t xml:space="preserve">конфигурация земельного участка </w:t>
      </w:r>
      <w:r w:rsidR="00826E1F">
        <w:rPr>
          <w:bCs/>
        </w:rPr>
        <w:t xml:space="preserve">не </w:t>
      </w:r>
      <w:r w:rsidR="00826E1F" w:rsidRPr="00C50866">
        <w:rPr>
          <w:bCs/>
        </w:rPr>
        <w:t>является неблагопр</w:t>
      </w:r>
      <w:r w:rsidR="00826E1F" w:rsidRPr="00C50866">
        <w:rPr>
          <w:bCs/>
        </w:rPr>
        <w:t>и</w:t>
      </w:r>
      <w:r w:rsidR="00826E1F" w:rsidRPr="00C50866">
        <w:rPr>
          <w:bCs/>
        </w:rPr>
        <w:t>ятной для застройки</w:t>
      </w:r>
      <w:r w:rsidR="00826E1F">
        <w:rPr>
          <w:bCs/>
        </w:rPr>
        <w:t>.</w:t>
      </w:r>
    </w:p>
    <w:p w:rsidR="007A7B76" w:rsidRDefault="007A7B76" w:rsidP="00170B03">
      <w:pPr>
        <w:contextualSpacing/>
        <w:jc w:val="both"/>
        <w:outlineLvl w:val="0"/>
        <w:rPr>
          <w:szCs w:val="22"/>
        </w:rPr>
      </w:pPr>
      <w:r>
        <w:rPr>
          <w:bCs/>
        </w:rPr>
        <w:tab/>
      </w:r>
      <w:r w:rsidR="004717B3">
        <w:rPr>
          <w:bCs/>
        </w:rPr>
        <w:t>1.3</w:t>
      </w:r>
      <w:r w:rsidR="004717B3" w:rsidRPr="00C50866">
        <w:rPr>
          <w:bCs/>
        </w:rPr>
        <w:t xml:space="preserve">. Лавренову Игорю Михайловичу </w:t>
      </w:r>
      <w:r w:rsidR="004717B3" w:rsidRPr="00C50866">
        <w:t>(на основании заявления в связи с тем, что размер земельного участка меньше установленного градостроительным ре</w:t>
      </w:r>
      <w:r w:rsidR="004717B3" w:rsidRPr="00C50866">
        <w:t>г</w:t>
      </w:r>
      <w:r w:rsidR="004717B3" w:rsidRPr="00C50866">
        <w:t>ламентом минимального размера) в части уменьшения минимального отступа от границ земельного участка, за пределами которого запрещено строительство зд</w:t>
      </w:r>
      <w:r w:rsidR="004717B3" w:rsidRPr="00C50866">
        <w:t>а</w:t>
      </w:r>
      <w:r w:rsidR="004717B3" w:rsidRPr="00C50866">
        <w:t>ний, строений, сооружений, с кадастровым номером 54:35:101095:42 площадью 0,0612 га, расположенного по адресу: Российская Федерация, Новосибирская о</w:t>
      </w:r>
      <w:r w:rsidR="004717B3" w:rsidRPr="00C50866">
        <w:t>б</w:t>
      </w:r>
      <w:r w:rsidR="004717B3" w:rsidRPr="00C50866">
        <w:t>ласть, город Новосибирск, ул.</w:t>
      </w:r>
      <w:r w:rsidR="004717B3">
        <w:t> </w:t>
      </w:r>
      <w:r w:rsidR="004717B3" w:rsidRPr="00C50866">
        <w:t xml:space="preserve">Мичурина, 25 (зона делового, общественного и коммерческого назначения (ОД-1)), с 3 м до 0 м </w:t>
      </w:r>
      <w:r w:rsidR="004717B3" w:rsidRPr="00C50866">
        <w:rPr>
          <w:bCs/>
        </w:rPr>
        <w:t>с северной, зап</w:t>
      </w:r>
      <w:r w:rsidR="004717B3">
        <w:rPr>
          <w:bCs/>
        </w:rPr>
        <w:t xml:space="preserve">адной, южной и восточной сторон </w:t>
      </w:r>
      <w:r w:rsidR="008F7DFD" w:rsidRPr="009C0972">
        <w:rPr>
          <w:szCs w:val="22"/>
        </w:rPr>
        <w:t xml:space="preserve">в связи с тем, что нарушены требования </w:t>
      </w:r>
      <w:r w:rsidR="00E37218">
        <w:rPr>
          <w:szCs w:val="22"/>
        </w:rPr>
        <w:t xml:space="preserve">таблицы 3* </w:t>
      </w:r>
      <w:r w:rsidR="008F7DFD" w:rsidRPr="009C0972">
        <w:rPr>
          <w:szCs w:val="22"/>
        </w:rPr>
        <w:t>СНиП</w:t>
      </w:r>
      <w:r w:rsidR="00170B03">
        <w:rPr>
          <w:szCs w:val="22"/>
        </w:rPr>
        <w:t> </w:t>
      </w:r>
      <w:r w:rsidR="008F7DFD" w:rsidRPr="009C0972">
        <w:rPr>
          <w:szCs w:val="22"/>
        </w:rPr>
        <w:t xml:space="preserve">2.04.07-86* </w:t>
      </w:r>
      <w:r w:rsidR="00E37218">
        <w:rPr>
          <w:szCs w:val="22"/>
        </w:rPr>
        <w:t>«</w:t>
      </w:r>
      <w:r w:rsidR="008F7DFD" w:rsidRPr="009C0972">
        <w:rPr>
          <w:szCs w:val="22"/>
        </w:rPr>
        <w:t>Тепловые сети</w:t>
      </w:r>
      <w:r w:rsidR="00E37218">
        <w:rPr>
          <w:szCs w:val="22"/>
        </w:rPr>
        <w:t>»</w:t>
      </w:r>
      <w:r w:rsidR="008F7DFD" w:rsidRPr="009C0972">
        <w:rPr>
          <w:szCs w:val="22"/>
        </w:rPr>
        <w:t xml:space="preserve"> в части </w:t>
      </w:r>
      <w:r w:rsidR="00E37218">
        <w:rPr>
          <w:szCs w:val="22"/>
        </w:rPr>
        <w:t xml:space="preserve">несоблюдения </w:t>
      </w:r>
      <w:r w:rsidR="008F7DFD" w:rsidRPr="009C0972">
        <w:rPr>
          <w:szCs w:val="22"/>
        </w:rPr>
        <w:t>расстояния от стро</w:t>
      </w:r>
      <w:r w:rsidR="008F7DFD" w:rsidRPr="009C0972">
        <w:rPr>
          <w:szCs w:val="22"/>
        </w:rPr>
        <w:t>и</w:t>
      </w:r>
      <w:r w:rsidR="008F7DFD" w:rsidRPr="009C0972">
        <w:rPr>
          <w:szCs w:val="22"/>
        </w:rPr>
        <w:t>тельных конструкций тепловых сетей до фундаментов зданий и сооружений</w:t>
      </w:r>
      <w:r w:rsidR="008F7DFD">
        <w:rPr>
          <w:szCs w:val="22"/>
        </w:rPr>
        <w:t>.</w:t>
      </w:r>
    </w:p>
    <w:p w:rsidR="00525A63" w:rsidRPr="007A7B76" w:rsidRDefault="007A7B76" w:rsidP="00170B03">
      <w:pPr>
        <w:contextualSpacing/>
        <w:jc w:val="both"/>
        <w:outlineLvl w:val="0"/>
        <w:rPr>
          <w:szCs w:val="22"/>
        </w:rPr>
      </w:pPr>
      <w:r>
        <w:rPr>
          <w:szCs w:val="22"/>
        </w:rPr>
        <w:tab/>
      </w:r>
      <w:r w:rsidR="00E078CE" w:rsidRPr="00F12A0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E078CE" w:rsidRPr="00F12A0F">
        <w:t>р</w:t>
      </w:r>
      <w:r w:rsidR="00E078CE" w:rsidRPr="00F12A0F">
        <w:t xml:space="preserve">мационно-телекоммуникационной сети «Интернет». </w:t>
      </w:r>
    </w:p>
    <w:p w:rsidR="00E078CE" w:rsidRPr="00F12A0F" w:rsidRDefault="00E078CE" w:rsidP="00170B03">
      <w:pPr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E078CE" w:rsidRDefault="00E078CE" w:rsidP="00170B03">
      <w:pPr>
        <w:ind w:firstLine="709"/>
        <w:jc w:val="both"/>
      </w:pPr>
      <w:r w:rsidRPr="00F12A0F">
        <w:t xml:space="preserve">4. Контроль за исполнением постановления возложить на заместителя мэра </w:t>
      </w:r>
      <w:r w:rsidR="00EF18A2">
        <w:t xml:space="preserve">города Новосибирска </w:t>
      </w:r>
      <w:r w:rsidRPr="00F12A0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70B03" w:rsidRPr="00106B12" w:rsidTr="00F77532">
        <w:tc>
          <w:tcPr>
            <w:tcW w:w="6946" w:type="dxa"/>
          </w:tcPr>
          <w:p w:rsidR="00170B03" w:rsidRDefault="00170B03" w:rsidP="00614F44">
            <w:pPr>
              <w:spacing w:before="600"/>
              <w:ind w:firstLine="34"/>
              <w:jc w:val="both"/>
            </w:pPr>
            <w:r>
              <w:t>Исполняющий обязанности</w:t>
            </w:r>
          </w:p>
          <w:p w:rsidR="00170B03" w:rsidRPr="00106B12" w:rsidRDefault="00170B03" w:rsidP="00BF4AF6">
            <w:pPr>
              <w:ind w:firstLine="34"/>
              <w:jc w:val="both"/>
            </w:pPr>
            <w:r>
              <w:t>мэра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170B03" w:rsidRPr="000C414F" w:rsidRDefault="00170B03" w:rsidP="00173B24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br/>
              <w:t>Б. В. Буреев</w:t>
            </w:r>
          </w:p>
        </w:tc>
      </w:tr>
    </w:tbl>
    <w:p w:rsidR="00532334" w:rsidRDefault="00532334" w:rsidP="007260BC">
      <w:pPr>
        <w:widowControl/>
        <w:spacing w:after="200" w:line="276" w:lineRule="auto"/>
      </w:pPr>
    </w:p>
    <w:p w:rsidR="007A7B76" w:rsidRDefault="007A7B76" w:rsidP="004E4127">
      <w:pPr>
        <w:widowControl/>
        <w:suppressAutoHyphens/>
        <w:spacing w:line="240" w:lineRule="atLeast"/>
        <w:rPr>
          <w:sz w:val="24"/>
          <w:szCs w:val="24"/>
        </w:rPr>
      </w:pPr>
    </w:p>
    <w:p w:rsidR="007A7B76" w:rsidRPr="00170B03" w:rsidRDefault="007A7B76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7A7B76" w:rsidRPr="00170B03" w:rsidRDefault="007A7B76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7A7B76" w:rsidRPr="00170B03" w:rsidRDefault="007A7B76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7A7B76" w:rsidRPr="00170B03" w:rsidRDefault="007A7B76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170B03" w:rsidRPr="00170B03" w:rsidRDefault="00170B03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170B03" w:rsidRPr="00170B03" w:rsidRDefault="00170B03" w:rsidP="004E4127">
      <w:pPr>
        <w:widowControl/>
        <w:suppressAutoHyphens/>
        <w:spacing w:line="240" w:lineRule="atLeast"/>
        <w:rPr>
          <w:sz w:val="22"/>
          <w:szCs w:val="24"/>
        </w:rPr>
      </w:pPr>
    </w:p>
    <w:p w:rsidR="00170B03" w:rsidRDefault="00170B03" w:rsidP="004E4127">
      <w:pPr>
        <w:widowControl/>
        <w:suppressAutoHyphens/>
        <w:spacing w:line="240" w:lineRule="atLeast"/>
        <w:rPr>
          <w:sz w:val="24"/>
          <w:szCs w:val="24"/>
        </w:rPr>
      </w:pPr>
    </w:p>
    <w:p w:rsidR="007A7B76" w:rsidRDefault="007A7B76" w:rsidP="004E4127">
      <w:pPr>
        <w:widowControl/>
        <w:suppressAutoHyphens/>
        <w:spacing w:line="240" w:lineRule="atLeast"/>
        <w:rPr>
          <w:sz w:val="24"/>
          <w:szCs w:val="24"/>
        </w:rPr>
      </w:pPr>
    </w:p>
    <w:p w:rsidR="007A7B76" w:rsidRDefault="007A7B76" w:rsidP="004E4127">
      <w:pPr>
        <w:widowControl/>
        <w:suppressAutoHyphens/>
        <w:spacing w:line="240" w:lineRule="atLeast"/>
        <w:rPr>
          <w:sz w:val="24"/>
          <w:szCs w:val="24"/>
        </w:rPr>
      </w:pPr>
    </w:p>
    <w:p w:rsidR="004E4127" w:rsidRPr="00680E06" w:rsidRDefault="004E4127" w:rsidP="004E4127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4E4127" w:rsidRPr="00680E06" w:rsidRDefault="004E4127" w:rsidP="004E4127">
      <w:pPr>
        <w:widowControl/>
        <w:suppressAutoHyphens/>
        <w:spacing w:line="240" w:lineRule="atLeast"/>
        <w:rPr>
          <w:sz w:val="24"/>
          <w:szCs w:val="24"/>
        </w:rPr>
      </w:pPr>
      <w:r w:rsidRPr="00680E06">
        <w:rPr>
          <w:sz w:val="24"/>
          <w:szCs w:val="24"/>
        </w:rPr>
        <w:t>2275</w:t>
      </w:r>
      <w:r>
        <w:rPr>
          <w:sz w:val="24"/>
          <w:szCs w:val="24"/>
        </w:rPr>
        <w:t>069</w:t>
      </w:r>
    </w:p>
    <w:p w:rsidR="003D7406" w:rsidRDefault="004E4127" w:rsidP="00170B03">
      <w:pPr>
        <w:widowControl/>
        <w:spacing w:after="200" w:line="276" w:lineRule="auto"/>
      </w:pPr>
      <w:r w:rsidRPr="00680E06">
        <w:rPr>
          <w:sz w:val="24"/>
          <w:szCs w:val="24"/>
        </w:rPr>
        <w:t>ГУАиГ</w:t>
      </w:r>
    </w:p>
    <w:sectPr w:rsidR="003D7406" w:rsidSect="007F74E9">
      <w:headerReference w:type="default" r:id="rId8"/>
      <w:pgSz w:w="11906" w:h="16838"/>
      <w:pgMar w:top="1134" w:right="567" w:bottom="99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57" w:rsidRDefault="005C2157" w:rsidP="00E10E89">
      <w:r>
        <w:separator/>
      </w:r>
    </w:p>
  </w:endnote>
  <w:endnote w:type="continuationSeparator" w:id="0">
    <w:p w:rsidR="005C2157" w:rsidRDefault="005C215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57" w:rsidRDefault="005C2157" w:rsidP="00E10E89">
      <w:r>
        <w:separator/>
      </w:r>
    </w:p>
  </w:footnote>
  <w:footnote w:type="continuationSeparator" w:id="0">
    <w:p w:rsidR="005C2157" w:rsidRDefault="005C215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8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2334" w:rsidRDefault="003E7F85">
        <w:pPr>
          <w:pStyle w:val="a5"/>
          <w:jc w:val="center"/>
        </w:pPr>
        <w:r w:rsidRPr="00532334">
          <w:rPr>
            <w:sz w:val="20"/>
            <w:szCs w:val="20"/>
          </w:rPr>
          <w:fldChar w:fldCharType="begin"/>
        </w:r>
        <w:r w:rsidR="00532334" w:rsidRPr="00532334">
          <w:rPr>
            <w:sz w:val="20"/>
            <w:szCs w:val="20"/>
          </w:rPr>
          <w:instrText xml:space="preserve"> PAGE   \* MERGEFORMAT </w:instrText>
        </w:r>
        <w:r w:rsidRPr="00532334">
          <w:rPr>
            <w:sz w:val="20"/>
            <w:szCs w:val="20"/>
          </w:rPr>
          <w:fldChar w:fldCharType="separate"/>
        </w:r>
        <w:r w:rsidR="005342D2">
          <w:rPr>
            <w:noProof/>
            <w:sz w:val="20"/>
            <w:szCs w:val="20"/>
          </w:rPr>
          <w:t>2</w:t>
        </w:r>
        <w:r w:rsidRPr="0053233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B1222"/>
    <w:rsid w:val="000D05A7"/>
    <w:rsid w:val="000D74D9"/>
    <w:rsid w:val="000F378A"/>
    <w:rsid w:val="000F3AC5"/>
    <w:rsid w:val="0016735C"/>
    <w:rsid w:val="00170B03"/>
    <w:rsid w:val="0018036C"/>
    <w:rsid w:val="00191BD4"/>
    <w:rsid w:val="001924F6"/>
    <w:rsid w:val="00192555"/>
    <w:rsid w:val="001B7C07"/>
    <w:rsid w:val="001D1572"/>
    <w:rsid w:val="001E38B3"/>
    <w:rsid w:val="001E4157"/>
    <w:rsid w:val="001F27FA"/>
    <w:rsid w:val="00214E5D"/>
    <w:rsid w:val="00220180"/>
    <w:rsid w:val="0022418F"/>
    <w:rsid w:val="0023517B"/>
    <w:rsid w:val="00251C9D"/>
    <w:rsid w:val="00257A54"/>
    <w:rsid w:val="00280E93"/>
    <w:rsid w:val="0029125A"/>
    <w:rsid w:val="002A7CAE"/>
    <w:rsid w:val="002B01F2"/>
    <w:rsid w:val="00302C22"/>
    <w:rsid w:val="003313FE"/>
    <w:rsid w:val="00331BF2"/>
    <w:rsid w:val="003347E8"/>
    <w:rsid w:val="00352998"/>
    <w:rsid w:val="003804A5"/>
    <w:rsid w:val="00381CA4"/>
    <w:rsid w:val="00396401"/>
    <w:rsid w:val="003B13D5"/>
    <w:rsid w:val="003C5B4C"/>
    <w:rsid w:val="003D7406"/>
    <w:rsid w:val="003E7F85"/>
    <w:rsid w:val="003F607C"/>
    <w:rsid w:val="00400D47"/>
    <w:rsid w:val="004059DE"/>
    <w:rsid w:val="0041322B"/>
    <w:rsid w:val="00423EAB"/>
    <w:rsid w:val="00425B96"/>
    <w:rsid w:val="004337A5"/>
    <w:rsid w:val="00440508"/>
    <w:rsid w:val="00444103"/>
    <w:rsid w:val="0046313F"/>
    <w:rsid w:val="004717B3"/>
    <w:rsid w:val="004847C6"/>
    <w:rsid w:val="004B08E2"/>
    <w:rsid w:val="004B649E"/>
    <w:rsid w:val="004B7890"/>
    <w:rsid w:val="004C1042"/>
    <w:rsid w:val="004C69DE"/>
    <w:rsid w:val="004E4127"/>
    <w:rsid w:val="004E566D"/>
    <w:rsid w:val="004E6B5E"/>
    <w:rsid w:val="004F19E3"/>
    <w:rsid w:val="004F51EC"/>
    <w:rsid w:val="00525A63"/>
    <w:rsid w:val="00526E31"/>
    <w:rsid w:val="005312E5"/>
    <w:rsid w:val="00531C79"/>
    <w:rsid w:val="00532334"/>
    <w:rsid w:val="005342D2"/>
    <w:rsid w:val="00535F46"/>
    <w:rsid w:val="0054048A"/>
    <w:rsid w:val="005426A1"/>
    <w:rsid w:val="00542F37"/>
    <w:rsid w:val="0055085C"/>
    <w:rsid w:val="005677E6"/>
    <w:rsid w:val="00573B1A"/>
    <w:rsid w:val="005833A9"/>
    <w:rsid w:val="00586C43"/>
    <w:rsid w:val="0059347D"/>
    <w:rsid w:val="005C2157"/>
    <w:rsid w:val="005C4D9E"/>
    <w:rsid w:val="005F1A5A"/>
    <w:rsid w:val="005F3CC1"/>
    <w:rsid w:val="005F6B95"/>
    <w:rsid w:val="005F7104"/>
    <w:rsid w:val="006168EC"/>
    <w:rsid w:val="006231AB"/>
    <w:rsid w:val="00623687"/>
    <w:rsid w:val="00667E20"/>
    <w:rsid w:val="00680E06"/>
    <w:rsid w:val="006833BB"/>
    <w:rsid w:val="006B7A63"/>
    <w:rsid w:val="006F05BE"/>
    <w:rsid w:val="006F376A"/>
    <w:rsid w:val="006F3CCC"/>
    <w:rsid w:val="00703FCD"/>
    <w:rsid w:val="007260BC"/>
    <w:rsid w:val="00745051"/>
    <w:rsid w:val="007704C0"/>
    <w:rsid w:val="00776EEE"/>
    <w:rsid w:val="007A7B76"/>
    <w:rsid w:val="007B1503"/>
    <w:rsid w:val="007B79BB"/>
    <w:rsid w:val="007C795F"/>
    <w:rsid w:val="007C7B20"/>
    <w:rsid w:val="007D386E"/>
    <w:rsid w:val="007E4404"/>
    <w:rsid w:val="007F74E9"/>
    <w:rsid w:val="0080518E"/>
    <w:rsid w:val="00806877"/>
    <w:rsid w:val="00826E1F"/>
    <w:rsid w:val="00847E9F"/>
    <w:rsid w:val="00867FF6"/>
    <w:rsid w:val="00895D91"/>
    <w:rsid w:val="008A66FB"/>
    <w:rsid w:val="008B3416"/>
    <w:rsid w:val="008C588C"/>
    <w:rsid w:val="008D095B"/>
    <w:rsid w:val="008E0CCF"/>
    <w:rsid w:val="008F7DFD"/>
    <w:rsid w:val="00901B16"/>
    <w:rsid w:val="00901E41"/>
    <w:rsid w:val="0092516A"/>
    <w:rsid w:val="009674B1"/>
    <w:rsid w:val="0098232F"/>
    <w:rsid w:val="0099262C"/>
    <w:rsid w:val="00995CBD"/>
    <w:rsid w:val="00996DA7"/>
    <w:rsid w:val="009A06D2"/>
    <w:rsid w:val="009A0C58"/>
    <w:rsid w:val="009A5633"/>
    <w:rsid w:val="009A614A"/>
    <w:rsid w:val="009C30BA"/>
    <w:rsid w:val="009E04FA"/>
    <w:rsid w:val="009F0C7E"/>
    <w:rsid w:val="009F77DA"/>
    <w:rsid w:val="00A00B1C"/>
    <w:rsid w:val="00A0395D"/>
    <w:rsid w:val="00A10A9F"/>
    <w:rsid w:val="00A151EA"/>
    <w:rsid w:val="00A175E6"/>
    <w:rsid w:val="00A17E97"/>
    <w:rsid w:val="00A23133"/>
    <w:rsid w:val="00A34FE0"/>
    <w:rsid w:val="00A40D31"/>
    <w:rsid w:val="00A610EC"/>
    <w:rsid w:val="00A874A8"/>
    <w:rsid w:val="00A90A07"/>
    <w:rsid w:val="00AA0112"/>
    <w:rsid w:val="00AA2873"/>
    <w:rsid w:val="00AD35E6"/>
    <w:rsid w:val="00AE1914"/>
    <w:rsid w:val="00AE24D2"/>
    <w:rsid w:val="00AE3AC2"/>
    <w:rsid w:val="00AF7137"/>
    <w:rsid w:val="00B011C5"/>
    <w:rsid w:val="00B05835"/>
    <w:rsid w:val="00B0696F"/>
    <w:rsid w:val="00B125ED"/>
    <w:rsid w:val="00B1318C"/>
    <w:rsid w:val="00B43D0B"/>
    <w:rsid w:val="00B66217"/>
    <w:rsid w:val="00B6656F"/>
    <w:rsid w:val="00B67B9D"/>
    <w:rsid w:val="00B71A79"/>
    <w:rsid w:val="00B83D61"/>
    <w:rsid w:val="00BA7BB0"/>
    <w:rsid w:val="00BB3D26"/>
    <w:rsid w:val="00BB53CB"/>
    <w:rsid w:val="00C17BEB"/>
    <w:rsid w:val="00C21451"/>
    <w:rsid w:val="00C236A8"/>
    <w:rsid w:val="00C247B7"/>
    <w:rsid w:val="00C37768"/>
    <w:rsid w:val="00C52F77"/>
    <w:rsid w:val="00C62DE9"/>
    <w:rsid w:val="00C71C64"/>
    <w:rsid w:val="00C860C1"/>
    <w:rsid w:val="00C97F8F"/>
    <w:rsid w:val="00CB59F4"/>
    <w:rsid w:val="00CB6C16"/>
    <w:rsid w:val="00CF4DD8"/>
    <w:rsid w:val="00D105E5"/>
    <w:rsid w:val="00D257CD"/>
    <w:rsid w:val="00D82CC1"/>
    <w:rsid w:val="00DA0451"/>
    <w:rsid w:val="00DA0863"/>
    <w:rsid w:val="00DA4F76"/>
    <w:rsid w:val="00DC58F4"/>
    <w:rsid w:val="00E01FE3"/>
    <w:rsid w:val="00E030FA"/>
    <w:rsid w:val="00E078CE"/>
    <w:rsid w:val="00E10E89"/>
    <w:rsid w:val="00E17125"/>
    <w:rsid w:val="00E27412"/>
    <w:rsid w:val="00E37218"/>
    <w:rsid w:val="00E416E2"/>
    <w:rsid w:val="00E42F8C"/>
    <w:rsid w:val="00E539EC"/>
    <w:rsid w:val="00E747D3"/>
    <w:rsid w:val="00E85E4B"/>
    <w:rsid w:val="00EC266A"/>
    <w:rsid w:val="00EC67CF"/>
    <w:rsid w:val="00EE41BE"/>
    <w:rsid w:val="00EF18A2"/>
    <w:rsid w:val="00EF3DAB"/>
    <w:rsid w:val="00F032DB"/>
    <w:rsid w:val="00F12A0F"/>
    <w:rsid w:val="00F17503"/>
    <w:rsid w:val="00F21F32"/>
    <w:rsid w:val="00F426DB"/>
    <w:rsid w:val="00F51338"/>
    <w:rsid w:val="00F62E0A"/>
    <w:rsid w:val="00F77BD1"/>
    <w:rsid w:val="00F806D6"/>
    <w:rsid w:val="00F86D1B"/>
    <w:rsid w:val="00FA51DD"/>
    <w:rsid w:val="00FD714E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B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B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170B0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CC68-68A0-4997-9BAC-CAAA66E7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1.3. Лавренову Игорю Михайловичу (на основании заявления в связи с тем, что разм</vt:lpstr>
      <vt:lpstr>        СОГЛАСОВАНО</vt:lpstr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2016-06-03T04:41:00Z</cp:lastPrinted>
  <dcterms:created xsi:type="dcterms:W3CDTF">2016-06-07T10:10:00Z</dcterms:created>
  <dcterms:modified xsi:type="dcterms:W3CDTF">2016-06-07T10:10:00Z</dcterms:modified>
</cp:coreProperties>
</file>